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50" w:lineRule="exact"/>
        <w:jc w:val="center"/>
        <w:outlineLvl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新密市城市管理局2024年6月</w:t>
      </w:r>
      <w:r>
        <w:rPr>
          <w:rFonts w:hint="eastAsia" w:ascii="宋体" w:hAnsi="宋体" w:cs="宋体"/>
          <w:color w:val="auto"/>
          <w:sz w:val="36"/>
          <w:szCs w:val="36"/>
          <w:highlight w:val="none"/>
          <w:lang w:val="en-US" w:eastAsia="zh-CN"/>
        </w:rPr>
        <w:t>至2024年7月</w:t>
      </w:r>
      <w:r>
        <w:rPr>
          <w:rFonts w:hint="eastAsia" w:ascii="宋体" w:hAnsi="宋体" w:eastAsia="宋体" w:cs="宋体"/>
          <w:color w:val="auto"/>
          <w:sz w:val="36"/>
          <w:szCs w:val="36"/>
          <w:highlight w:val="none"/>
          <w:lang w:val="en-US" w:eastAsia="zh-CN"/>
        </w:rPr>
        <w:t>招标计划</w:t>
      </w:r>
    </w:p>
    <w:p>
      <w:pPr>
        <w:tabs>
          <w:tab w:val="left" w:pos="993"/>
          <w:tab w:val="left" w:pos="1134"/>
          <w:tab w:val="left" w:pos="1418"/>
        </w:tabs>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为便于潜在投标人及时了解招标信息，现将</w:t>
      </w:r>
      <w:r>
        <w:rPr>
          <w:rFonts w:hint="eastAsia" w:ascii="仿宋" w:hAnsi="仿宋" w:eastAsia="仿宋" w:cs="仿宋"/>
          <w:sz w:val="32"/>
          <w:szCs w:val="32"/>
          <w:highlight w:val="none"/>
          <w:lang w:val="en-US" w:eastAsia="zh-CN"/>
        </w:rPr>
        <w:t>新密市城市管理局2024年6月至2024年7月招标计划</w:t>
      </w:r>
      <w:r>
        <w:rPr>
          <w:rFonts w:hint="eastAsia" w:ascii="仿宋" w:hAnsi="仿宋" w:eastAsia="仿宋" w:cs="仿宋"/>
          <w:sz w:val="32"/>
          <w:szCs w:val="32"/>
          <w:highlight w:val="none"/>
        </w:rPr>
        <w:t>发布如下：</w:t>
      </w:r>
    </w:p>
    <w:tbl>
      <w:tblPr>
        <w:tblStyle w:val="8"/>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94"/>
        <w:gridCol w:w="2130"/>
        <w:gridCol w:w="3315"/>
        <w:gridCol w:w="1913"/>
        <w:gridCol w:w="212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89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招标人</w:t>
            </w:r>
            <w:r>
              <w:rPr>
                <w:rFonts w:hint="eastAsia" w:ascii="仿宋" w:hAnsi="仿宋" w:eastAsia="仿宋" w:cs="仿宋"/>
                <w:b/>
                <w:bCs/>
                <w:sz w:val="28"/>
                <w:szCs w:val="28"/>
                <w:lang w:eastAsia="zh-CN"/>
              </w:rPr>
              <w:t>名称</w:t>
            </w:r>
          </w:p>
        </w:tc>
        <w:tc>
          <w:tcPr>
            <w:tcW w:w="213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项目名称</w:t>
            </w:r>
          </w:p>
        </w:tc>
        <w:tc>
          <w:tcPr>
            <w:tcW w:w="331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招标内容</w:t>
            </w:r>
          </w:p>
        </w:tc>
        <w:tc>
          <w:tcPr>
            <w:tcW w:w="1913"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highlight w:val="yellow"/>
                <w:lang w:eastAsia="zh-CN"/>
              </w:rPr>
            </w:pPr>
            <w:r>
              <w:rPr>
                <w:rFonts w:hint="eastAsia" w:ascii="仿宋" w:hAnsi="仿宋" w:eastAsia="仿宋" w:cs="仿宋"/>
                <w:b/>
                <w:bCs/>
                <w:sz w:val="28"/>
                <w:szCs w:val="28"/>
                <w:highlight w:val="yellow"/>
                <w:lang w:eastAsia="zh-CN"/>
              </w:rPr>
              <w:t>投资总额</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highlight w:val="yellow"/>
              </w:rPr>
              <w:t>（万元）</w:t>
            </w:r>
          </w:p>
        </w:tc>
        <w:tc>
          <w:tcPr>
            <w:tcW w:w="212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预计</w:t>
            </w: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时间</w:t>
            </w:r>
          </w:p>
        </w:tc>
        <w:tc>
          <w:tcPr>
            <w:tcW w:w="1073"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7"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rPr>
            </w:pPr>
            <w:r>
              <w:rPr>
                <w:rFonts w:hint="eastAsia" w:ascii="仿宋" w:hAnsi="仿宋" w:eastAsia="仿宋" w:cs="Times New Roman"/>
                <w:sz w:val="22"/>
                <w:szCs w:val="21"/>
                <w:highlight w:val="none"/>
              </w:rPr>
              <w:t>1</w:t>
            </w:r>
          </w:p>
        </w:tc>
        <w:tc>
          <w:tcPr>
            <w:tcW w:w="1894"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rPr>
            </w:pPr>
            <w:r>
              <w:rPr>
                <w:rFonts w:hint="eastAsia" w:ascii="仿宋" w:hAnsi="仿宋" w:eastAsia="仿宋" w:cs="Times New Roman"/>
                <w:sz w:val="22"/>
                <w:szCs w:val="21"/>
                <w:highlight w:val="none"/>
              </w:rPr>
              <w:t>新密市城市管理局</w:t>
            </w:r>
          </w:p>
        </w:tc>
        <w:tc>
          <w:tcPr>
            <w:tcW w:w="2130"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新密市城市管理局确定 2024、2025年度城区新建市政道路基础设施工程维护和抢修施工单位及监理单位项目</w:t>
            </w:r>
          </w:p>
        </w:tc>
        <w:tc>
          <w:tcPr>
            <w:tcW w:w="3315" w:type="dxa"/>
            <w:noWrap w:val="0"/>
            <w:vAlign w:val="center"/>
          </w:tcPr>
          <w:p>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default" w:ascii="仿宋" w:hAnsi="仿宋" w:eastAsia="仿宋" w:cs="Times New Roman"/>
                <w:sz w:val="22"/>
                <w:szCs w:val="21"/>
                <w:highlight w:val="none"/>
                <w:lang w:val="en-US" w:eastAsia="zh-CN"/>
              </w:rPr>
              <w:t>我市市政道路基础设施维修养护和抢修工程包括市政道路基础设施维养工程;道路沉陷、桥涵护坡塌陷抢修工程;防洪抢险救灾特殊时期出现急需抢修恢复的损毁工程:上级部门安排的临时性市政道路基础设施提升改造工程等</w:t>
            </w:r>
          </w:p>
        </w:tc>
        <w:tc>
          <w:tcPr>
            <w:tcW w:w="1913" w:type="dxa"/>
            <w:noWrap w:val="0"/>
            <w:vAlign w:val="center"/>
          </w:tcPr>
          <w:p>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785</w:t>
            </w:r>
            <w:bookmarkStart w:id="0" w:name="_GoBack"/>
            <w:bookmarkEnd w:id="0"/>
          </w:p>
        </w:tc>
        <w:tc>
          <w:tcPr>
            <w:tcW w:w="2125" w:type="dxa"/>
            <w:noWrap w:val="0"/>
            <w:vAlign w:val="center"/>
          </w:tcPr>
          <w:p>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2024年6月至2024年7月</w:t>
            </w:r>
          </w:p>
        </w:tc>
        <w:tc>
          <w:tcPr>
            <w:tcW w:w="1073"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rPr>
            </w:pPr>
          </w:p>
        </w:tc>
      </w:tr>
    </w:tbl>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本招标计划发布内容仅作为潜在投标人提前了解招标人初步招标计划的参考，招标项目实际内容以项目招标人最终发布的招标公告和招标文件为准。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eastAsia" w:eastAsia="仿宋"/>
          <w:lang w:val="en-US" w:eastAsia="zh-CN"/>
        </w:rPr>
      </w:pPr>
      <w:r>
        <w:rPr>
          <w:rFonts w:hint="eastAsia" w:ascii="仿宋" w:hAnsi="仿宋" w:eastAsia="仿宋" w:cs="仿宋"/>
          <w:sz w:val="32"/>
          <w:szCs w:val="32"/>
          <w:lang w:val="en-US" w:eastAsia="zh-CN"/>
        </w:rPr>
        <w:t xml:space="preserve">新密市城市管理局                                                               </w:t>
      </w:r>
      <w:r>
        <w:rPr>
          <w:rFonts w:hint="eastAsia" w:ascii="仿宋" w:hAnsi="仿宋" w:eastAsia="仿宋" w:cs="仿宋"/>
          <w:sz w:val="32"/>
          <w:szCs w:val="32"/>
          <w:highlight w:val="yellow"/>
          <w:lang w:val="en-US" w:eastAsia="zh-CN"/>
        </w:rPr>
        <w:t>2024</w:t>
      </w:r>
      <w:r>
        <w:rPr>
          <w:rFonts w:hint="eastAsia" w:ascii="仿宋" w:hAnsi="仿宋" w:eastAsia="仿宋" w:cs="仿宋"/>
          <w:sz w:val="32"/>
          <w:szCs w:val="32"/>
          <w:highlight w:val="yellow"/>
        </w:rPr>
        <w:t>年</w:t>
      </w:r>
      <w:r>
        <w:rPr>
          <w:rFonts w:hint="eastAsia" w:ascii="仿宋" w:hAnsi="仿宋" w:eastAsia="仿宋" w:cs="仿宋"/>
          <w:sz w:val="32"/>
          <w:szCs w:val="32"/>
          <w:highlight w:val="yellow"/>
          <w:lang w:val="en-US" w:eastAsia="zh-CN"/>
        </w:rPr>
        <w:t>05</w:t>
      </w:r>
      <w:r>
        <w:rPr>
          <w:rFonts w:hint="eastAsia" w:ascii="仿宋" w:hAnsi="仿宋" w:eastAsia="仿宋" w:cs="仿宋"/>
          <w:sz w:val="32"/>
          <w:szCs w:val="32"/>
          <w:highlight w:val="yellow"/>
        </w:rPr>
        <w:t>月</w:t>
      </w:r>
      <w:r>
        <w:rPr>
          <w:rFonts w:hint="eastAsia" w:ascii="仿宋" w:hAnsi="仿宋" w:eastAsia="仿宋" w:cs="仿宋"/>
          <w:sz w:val="32"/>
          <w:szCs w:val="32"/>
          <w:highlight w:val="yellow"/>
          <w:lang w:val="en-US" w:eastAsia="zh-CN"/>
        </w:rPr>
        <w:t xml:space="preserve">  </w:t>
      </w:r>
      <w:r>
        <w:rPr>
          <w:rFonts w:hint="eastAsia" w:ascii="仿宋" w:hAnsi="仿宋" w:eastAsia="仿宋" w:cs="仿宋"/>
          <w:sz w:val="32"/>
          <w:szCs w:val="32"/>
          <w:highlight w:val="yellow"/>
        </w:rPr>
        <w:t>日</w:t>
      </w:r>
      <w:r>
        <w:rPr>
          <w:rFonts w:hint="eastAsia" w:ascii="仿宋" w:hAnsi="仿宋" w:eastAsia="仿宋" w:cs="仿宋"/>
          <w:sz w:val="32"/>
          <w:szCs w:val="32"/>
          <w:highlight w:val="yellow"/>
          <w:lang w:val="en-US" w:eastAsia="zh-CN"/>
        </w:rPr>
        <w:t xml:space="preserve"> </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N2MzYjAzMTc0OGQ1ZTljMzAyYTc4OTJiOTIyNjgifQ=="/>
  </w:docVars>
  <w:rsids>
    <w:rsidRoot w:val="52BE3087"/>
    <w:rsid w:val="03600EDC"/>
    <w:rsid w:val="06615668"/>
    <w:rsid w:val="0E61521A"/>
    <w:rsid w:val="0EF0400C"/>
    <w:rsid w:val="12E220EA"/>
    <w:rsid w:val="16AD3796"/>
    <w:rsid w:val="183737E0"/>
    <w:rsid w:val="191404B0"/>
    <w:rsid w:val="193F6C34"/>
    <w:rsid w:val="1B5E774E"/>
    <w:rsid w:val="1C3D0F58"/>
    <w:rsid w:val="1D7414B2"/>
    <w:rsid w:val="1F131462"/>
    <w:rsid w:val="202B14FE"/>
    <w:rsid w:val="223174F2"/>
    <w:rsid w:val="24B12D61"/>
    <w:rsid w:val="28F73756"/>
    <w:rsid w:val="29501898"/>
    <w:rsid w:val="2AF11A39"/>
    <w:rsid w:val="2C2D606D"/>
    <w:rsid w:val="2C6E61F8"/>
    <w:rsid w:val="2DC51450"/>
    <w:rsid w:val="313E6199"/>
    <w:rsid w:val="31877F55"/>
    <w:rsid w:val="32C94E4A"/>
    <w:rsid w:val="36415B53"/>
    <w:rsid w:val="3B31575A"/>
    <w:rsid w:val="3DE844B6"/>
    <w:rsid w:val="41FA7928"/>
    <w:rsid w:val="450D17E8"/>
    <w:rsid w:val="45120487"/>
    <w:rsid w:val="468A47D5"/>
    <w:rsid w:val="47222B39"/>
    <w:rsid w:val="47C32C7D"/>
    <w:rsid w:val="48D123FC"/>
    <w:rsid w:val="4B215AA6"/>
    <w:rsid w:val="4C136B20"/>
    <w:rsid w:val="4C9F4126"/>
    <w:rsid w:val="4ED7412B"/>
    <w:rsid w:val="4EF72CEE"/>
    <w:rsid w:val="4F9003BF"/>
    <w:rsid w:val="52974553"/>
    <w:rsid w:val="52BE3087"/>
    <w:rsid w:val="549D485E"/>
    <w:rsid w:val="552A1E7A"/>
    <w:rsid w:val="57D46D26"/>
    <w:rsid w:val="59906217"/>
    <w:rsid w:val="5CEC5C67"/>
    <w:rsid w:val="60EC26DA"/>
    <w:rsid w:val="62C15723"/>
    <w:rsid w:val="63AB6D9A"/>
    <w:rsid w:val="64721148"/>
    <w:rsid w:val="66AF7F1D"/>
    <w:rsid w:val="67BB51F0"/>
    <w:rsid w:val="68A307C4"/>
    <w:rsid w:val="694D26B5"/>
    <w:rsid w:val="6AAC5C18"/>
    <w:rsid w:val="6C68355C"/>
    <w:rsid w:val="6C75701C"/>
    <w:rsid w:val="6D913365"/>
    <w:rsid w:val="6DD4732E"/>
    <w:rsid w:val="6E59586F"/>
    <w:rsid w:val="6E7837FF"/>
    <w:rsid w:val="6F983CF8"/>
    <w:rsid w:val="6FE57683"/>
    <w:rsid w:val="741F3FCD"/>
    <w:rsid w:val="7B042CD0"/>
    <w:rsid w:val="7CE247B8"/>
    <w:rsid w:val="7F8A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4"/>
    <w:autoRedefine/>
    <w:qFormat/>
    <w:uiPriority w:val="0"/>
    <w:pPr>
      <w:ind w:firstLine="660"/>
    </w:pPr>
    <w:rPr>
      <w:rFonts w:ascii="宋体" w:hAnsi="宋体"/>
      <w:color w:val="FF0000"/>
      <w:sz w:val="30"/>
    </w:rPr>
  </w:style>
  <w:style w:type="paragraph" w:styleId="4">
    <w:name w:val="envelope return"/>
    <w:basedOn w:val="1"/>
    <w:autoRedefine/>
    <w:qFormat/>
    <w:uiPriority w:val="0"/>
    <w:pPr>
      <w:widowControl/>
      <w:spacing w:line="360" w:lineRule="auto"/>
      <w:ind w:firstLine="200" w:firstLineChars="200"/>
      <w:jc w:val="left"/>
    </w:pPr>
    <w:rPr>
      <w:rFonts w:ascii="Arial" w:hAnsi="Arial" w:cs="Arial"/>
      <w:kern w:val="0"/>
      <w:sz w:val="20"/>
      <w:szCs w:val="20"/>
      <w:lang w:eastAsia="en-US"/>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w:basedOn w:val="2"/>
    <w:next w:val="7"/>
    <w:autoRedefine/>
    <w:qFormat/>
    <w:uiPriority w:val="0"/>
    <w:pPr>
      <w:spacing w:after="120" w:line="360" w:lineRule="auto"/>
      <w:ind w:firstLine="420" w:firstLineChars="100"/>
    </w:pPr>
    <w:rPr>
      <w:rFonts w:ascii="Times New Roman" w:hAnsi="Times New Roman" w:eastAsia="宋体" w:cs="Times New Roman"/>
      <w:sz w:val="21"/>
      <w:szCs w:val="21"/>
    </w:rPr>
  </w:style>
  <w:style w:type="paragraph" w:styleId="7">
    <w:name w:val="Body Text First Indent 2"/>
    <w:basedOn w:val="3"/>
    <w:next w:val="1"/>
    <w:autoRedefine/>
    <w:unhideWhenUsed/>
    <w:qFormat/>
    <w:uiPriority w:val="99"/>
    <w:pPr>
      <w:ind w:firstLine="420" w:firstLineChars="200"/>
    </w:pPr>
  </w:style>
  <w:style w:type="paragraph" w:customStyle="1" w:styleId="10">
    <w:name w:val="无间隔1"/>
    <w:basedOn w:val="1"/>
    <w:next w:val="11"/>
    <w:qFormat/>
    <w:uiPriority w:val="1"/>
    <w:pPr>
      <w:spacing w:line="400" w:lineRule="exact"/>
    </w:pPr>
  </w:style>
  <w:style w:type="paragraph" w:customStyle="1" w:styleId="11">
    <w:name w:val="TOC Heading1"/>
    <w:next w:val="1"/>
    <w:autoRedefine/>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339</Words>
  <Characters>367</Characters>
  <Lines>0</Lines>
  <Paragraphs>0</Paragraphs>
  <TotalTime>0</TotalTime>
  <ScaleCrop>false</ScaleCrop>
  <LinksUpToDate>false</LinksUpToDate>
  <CharactersWithSpaces>434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2021-01-25T04:40:00Z</dcterms:created>
  <dc:creator>中金泰富工程管理有限公司:孙向阳</dc:creator>
  <cp:lastModifiedBy>高琪</cp:lastModifiedBy>
  <dcterms:modified xsi:type="dcterms:W3CDTF">2024-05-22T07:47:40Z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37103CE1C3F24FF9B3FA3074FA24B2F9</vt:lpwstr>
  </property>
</Properties>
</file>