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D8582">
      <w:pPr>
        <w:tabs>
          <w:tab w:val="left" w:pos="993"/>
          <w:tab w:val="left" w:pos="1134"/>
          <w:tab w:val="left" w:pos="1418"/>
        </w:tabs>
        <w:spacing w:line="520" w:lineRule="exact"/>
        <w:jc w:val="center"/>
        <w:outlineLvl w:val="0"/>
        <w:rPr>
          <w:rFonts w:ascii="方正小标宋简体" w:hAnsi="方正小标宋_GBK" w:eastAsia="方正小标宋简体" w:cs="方正小标宋简体"/>
          <w:sz w:val="44"/>
          <w:szCs w:val="44"/>
        </w:rPr>
      </w:pPr>
      <w:r>
        <w:rPr>
          <w:rFonts w:hint="eastAsia" w:ascii="方正小标宋简体" w:hAnsi="方正小标宋_GBK" w:eastAsia="方正小标宋简体" w:cs="方正小标宋简体"/>
          <w:b/>
          <w:bCs/>
          <w:sz w:val="36"/>
          <w:szCs w:val="36"/>
        </w:rPr>
        <w:t>新密市住房和城乡建设管理局</w:t>
      </w:r>
      <w:r>
        <w:rPr>
          <w:rFonts w:hint="eastAsia" w:ascii="方正小标宋简体" w:hAnsi="方正小标宋_GBK" w:eastAsia="方正小标宋简体" w:cs="方正小标宋简体"/>
          <w:sz w:val="36"/>
          <w:szCs w:val="36"/>
          <w:u w:val="single"/>
        </w:rPr>
        <w:t>2024</w:t>
      </w:r>
      <w:r>
        <w:rPr>
          <w:rFonts w:hint="eastAsia" w:ascii="方正小标宋简体" w:hAnsi="方正小标宋_GBK" w:eastAsia="方正小标宋简体" w:cs="方正小标宋简体"/>
          <w:sz w:val="36"/>
          <w:szCs w:val="36"/>
        </w:rPr>
        <w:t>年</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u w:val="single"/>
        </w:rPr>
        <w:t>09</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rPr>
        <w:t>（至）</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u w:val="single"/>
        </w:rPr>
        <w:t>10</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rPr>
        <w:t>月</w:t>
      </w:r>
    </w:p>
    <w:p w14:paraId="00AE5407">
      <w:pPr>
        <w:tabs>
          <w:tab w:val="left" w:pos="993"/>
          <w:tab w:val="left" w:pos="1134"/>
          <w:tab w:val="left" w:pos="1418"/>
        </w:tabs>
        <w:spacing w:line="480" w:lineRule="auto"/>
        <w:ind w:left="-178" w:leftChars="-85" w:firstLine="720" w:firstLineChars="200"/>
        <w:jc w:val="center"/>
        <w:rPr>
          <w:rFonts w:hint="eastAsia" w:ascii="方正小标宋简体" w:hAnsi="方正小标宋_GBK" w:eastAsia="方正小标宋简体" w:cs="方正小标宋简体"/>
          <w:b/>
          <w:bCs/>
          <w:sz w:val="36"/>
          <w:szCs w:val="36"/>
          <w:lang w:val="en-US" w:eastAsia="zh-CN"/>
        </w:rPr>
      </w:pPr>
      <w:r>
        <w:rPr>
          <w:rFonts w:hint="eastAsia" w:ascii="方正小标宋简体" w:hAnsi="方正小标宋_GBK" w:eastAsia="方正小标宋简体" w:cs="方正小标宋简体"/>
          <w:b/>
          <w:bCs/>
          <w:sz w:val="36"/>
          <w:szCs w:val="36"/>
          <w:lang w:val="en-US" w:eastAsia="zh-CN"/>
        </w:rPr>
        <w:t>招标计划</w:t>
      </w:r>
    </w:p>
    <w:p w14:paraId="55522006">
      <w:pPr>
        <w:tabs>
          <w:tab w:val="left" w:pos="993"/>
          <w:tab w:val="left" w:pos="1134"/>
          <w:tab w:val="left" w:pos="1418"/>
        </w:tabs>
        <w:spacing w:line="480" w:lineRule="auto"/>
        <w:ind w:left="-178" w:leftChars="-85"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为便于潜在投标人及时了解招标信息，现将新密市住房和城乡建设管理局2024年</w:t>
      </w:r>
      <w:r>
        <w:rPr>
          <w:rFonts w:hint="eastAsia" w:ascii="仿宋_GB2312" w:hAnsi="仿宋_GB2312" w:eastAsia="仿宋_GB2312" w:cs="仿宋_GB2312"/>
          <w:sz w:val="28"/>
          <w:szCs w:val="28"/>
          <w:lang w:val="en-US" w:eastAsia="zh-CN"/>
        </w:rPr>
        <w:t>09</w:t>
      </w:r>
      <w:r>
        <w:rPr>
          <w:rFonts w:hint="eastAsia" w:ascii="仿宋_GB2312" w:hAnsi="仿宋_GB2312" w:eastAsia="仿宋_GB2312" w:cs="仿宋_GB2312"/>
          <w:sz w:val="28"/>
          <w:szCs w:val="28"/>
        </w:rPr>
        <w:t>月至2024年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月的招标计划发布如下：</w:t>
      </w:r>
      <w:bookmarkStart w:id="0" w:name="_GoBack"/>
      <w:bookmarkEnd w:id="0"/>
    </w:p>
    <w:tbl>
      <w:tblPr>
        <w:tblStyle w:val="5"/>
        <w:tblW w:w="1441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000"/>
        <w:gridCol w:w="3380"/>
        <w:gridCol w:w="3725"/>
        <w:gridCol w:w="1562"/>
        <w:gridCol w:w="1950"/>
        <w:gridCol w:w="861"/>
      </w:tblGrid>
      <w:tr w14:paraId="5173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39" w:type="dxa"/>
            <w:vAlign w:val="center"/>
          </w:tcPr>
          <w:p w14:paraId="71CC7F6A">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000" w:type="dxa"/>
            <w:vAlign w:val="center"/>
          </w:tcPr>
          <w:p w14:paraId="7294D6D1">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采购单位名称</w:t>
            </w:r>
          </w:p>
        </w:tc>
        <w:tc>
          <w:tcPr>
            <w:tcW w:w="3380" w:type="dxa"/>
            <w:vAlign w:val="center"/>
          </w:tcPr>
          <w:p w14:paraId="6B4228F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采购项目名称</w:t>
            </w:r>
          </w:p>
        </w:tc>
        <w:tc>
          <w:tcPr>
            <w:tcW w:w="3725" w:type="dxa"/>
            <w:vAlign w:val="center"/>
          </w:tcPr>
          <w:p w14:paraId="6DAD3075">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采购需求概况</w:t>
            </w:r>
          </w:p>
        </w:tc>
        <w:tc>
          <w:tcPr>
            <w:tcW w:w="1562" w:type="dxa"/>
            <w:vAlign w:val="center"/>
          </w:tcPr>
          <w:p w14:paraId="4F988432">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预算金额</w:t>
            </w:r>
          </w:p>
          <w:p w14:paraId="25D8C19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（万元）</w:t>
            </w:r>
          </w:p>
        </w:tc>
        <w:tc>
          <w:tcPr>
            <w:tcW w:w="1950" w:type="dxa"/>
            <w:vAlign w:val="center"/>
          </w:tcPr>
          <w:p w14:paraId="7466212F">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预计采购时间</w:t>
            </w:r>
          </w:p>
        </w:tc>
        <w:tc>
          <w:tcPr>
            <w:tcW w:w="861" w:type="dxa"/>
            <w:vAlign w:val="center"/>
          </w:tcPr>
          <w:p w14:paraId="3F2814D1">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备注</w:t>
            </w:r>
          </w:p>
        </w:tc>
      </w:tr>
      <w:tr w14:paraId="72EB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39" w:type="dxa"/>
            <w:vAlign w:val="center"/>
          </w:tcPr>
          <w:p w14:paraId="7F10F24B">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1</w:t>
            </w:r>
          </w:p>
        </w:tc>
        <w:tc>
          <w:tcPr>
            <w:tcW w:w="2000" w:type="dxa"/>
            <w:vAlign w:val="center"/>
          </w:tcPr>
          <w:p w14:paraId="5D6ABC5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新密市住房和城乡建设管理局</w:t>
            </w:r>
          </w:p>
        </w:tc>
        <w:tc>
          <w:tcPr>
            <w:tcW w:w="3380" w:type="dxa"/>
            <w:vAlign w:val="center"/>
          </w:tcPr>
          <w:p w14:paraId="650CCEB3">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新密市住房和城乡建设管理局新密市城区综合管廊建设勘察设计项目</w:t>
            </w:r>
          </w:p>
        </w:tc>
        <w:tc>
          <w:tcPr>
            <w:tcW w:w="3725" w:type="dxa"/>
            <w:vAlign w:val="center"/>
          </w:tcPr>
          <w:p w14:paraId="23D14A82">
            <w:pPr>
              <w:tabs>
                <w:tab w:val="left" w:pos="993"/>
                <w:tab w:val="left" w:pos="1134"/>
                <w:tab w:val="left" w:pos="1418"/>
              </w:tabs>
              <w:spacing w:line="520" w:lineRule="exact"/>
              <w:jc w:val="left"/>
              <w:rPr>
                <w:rFonts w:ascii="仿宋" w:hAnsi="仿宋" w:eastAsia="仿宋" w:cs="仿宋"/>
                <w:sz w:val="28"/>
                <w:szCs w:val="28"/>
              </w:rPr>
            </w:pPr>
            <w:r>
              <w:rPr>
                <w:rFonts w:hint="eastAsia" w:ascii="仿宋" w:hAnsi="仿宋" w:eastAsia="仿宋" w:cs="仿宋"/>
                <w:sz w:val="28"/>
                <w:szCs w:val="28"/>
              </w:rPr>
              <w:t>建设地点：新密市城区；项目概况：新密市城区部分道路的电力、弱电、通信、有线电视、供水、污水、热力、燃气、雨水等管网设施建设，同时配套建设附属设施包括通风系统、监控与报警系统、供配电系统、给排水系统、标识系统、疏散逃生系统、防雷接地系统、安全管理系统等地下综合管廊设施工程。</w:t>
            </w:r>
          </w:p>
          <w:p w14:paraId="7B449322">
            <w:pPr>
              <w:tabs>
                <w:tab w:val="left" w:pos="993"/>
                <w:tab w:val="left" w:pos="1134"/>
                <w:tab w:val="left" w:pos="1418"/>
              </w:tabs>
              <w:spacing w:line="520" w:lineRule="exact"/>
              <w:jc w:val="left"/>
              <w:rPr>
                <w:rFonts w:ascii="仿宋" w:hAnsi="仿宋" w:eastAsia="仿宋" w:cs="仿宋"/>
                <w:sz w:val="28"/>
                <w:szCs w:val="28"/>
              </w:rPr>
            </w:pPr>
          </w:p>
        </w:tc>
        <w:tc>
          <w:tcPr>
            <w:tcW w:w="1562" w:type="dxa"/>
            <w:vAlign w:val="center"/>
          </w:tcPr>
          <w:p w14:paraId="428CF0C7">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519.94</w:t>
            </w:r>
          </w:p>
        </w:tc>
        <w:tc>
          <w:tcPr>
            <w:tcW w:w="1950" w:type="dxa"/>
            <w:vAlign w:val="center"/>
          </w:tcPr>
          <w:p w14:paraId="0F152564">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2024年10月</w:t>
            </w:r>
          </w:p>
        </w:tc>
        <w:tc>
          <w:tcPr>
            <w:tcW w:w="861" w:type="dxa"/>
            <w:vAlign w:val="center"/>
          </w:tcPr>
          <w:p w14:paraId="104381B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无</w:t>
            </w:r>
          </w:p>
        </w:tc>
      </w:tr>
    </w:tbl>
    <w:p w14:paraId="7A02CD69">
      <w:pPr>
        <w:tabs>
          <w:tab w:val="left" w:pos="993"/>
          <w:tab w:val="left" w:pos="1134"/>
          <w:tab w:val="left" w:pos="1418"/>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本招标计划发布内容仅作为潜在投标人提前了解招标人初步招标计划的参考，招标项目实际内容以项目招标人最终发布的招标公告和招标文件为准。</w:t>
      </w:r>
    </w:p>
    <w:p w14:paraId="6A609BDB">
      <w:pPr>
        <w:tabs>
          <w:tab w:val="left" w:pos="993"/>
          <w:tab w:val="left" w:pos="1134"/>
          <w:tab w:val="left" w:pos="1418"/>
        </w:tabs>
        <w:spacing w:line="52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新密市住房和城乡建设管理局</w:t>
      </w:r>
    </w:p>
    <w:p w14:paraId="5DD3A5F0">
      <w:pPr>
        <w:tabs>
          <w:tab w:val="left" w:pos="993"/>
          <w:tab w:val="left" w:pos="1134"/>
          <w:tab w:val="left" w:pos="1418"/>
        </w:tabs>
        <w:spacing w:line="52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2024年9月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w:t>
      </w:r>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A4631">
    <w:pPr>
      <w:pStyle w:val="2"/>
    </w:pPr>
    <w:r>
      <w:rPr>
        <w:rFonts w:hint="eastAsia"/>
        <w:sz w:val="28"/>
      </w:rPr>
      <w:t>－</w:t>
    </w:r>
    <w:r>
      <w:rPr>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sz w:val="28"/>
      </w:rPr>
      <w:t xml:space="preserve"> </w:t>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NWE4Yjk5YmIwNGI3OTg1NjUzYjNhOTExMDA4MmMifQ=="/>
  </w:docVars>
  <w:rsids>
    <w:rsidRoot w:val="6C2C0EBD"/>
    <w:rsid w:val="000F6383"/>
    <w:rsid w:val="000F67C8"/>
    <w:rsid w:val="00117503"/>
    <w:rsid w:val="00167579"/>
    <w:rsid w:val="00174F3F"/>
    <w:rsid w:val="00182C4B"/>
    <w:rsid w:val="001E5100"/>
    <w:rsid w:val="00266F04"/>
    <w:rsid w:val="002756D5"/>
    <w:rsid w:val="002C6A39"/>
    <w:rsid w:val="00320158"/>
    <w:rsid w:val="00384AD2"/>
    <w:rsid w:val="003B540B"/>
    <w:rsid w:val="005037CD"/>
    <w:rsid w:val="00552B37"/>
    <w:rsid w:val="005B7E43"/>
    <w:rsid w:val="00601241"/>
    <w:rsid w:val="0060323B"/>
    <w:rsid w:val="00616E43"/>
    <w:rsid w:val="00670A55"/>
    <w:rsid w:val="006F4B64"/>
    <w:rsid w:val="00796D10"/>
    <w:rsid w:val="00797FEC"/>
    <w:rsid w:val="007B7861"/>
    <w:rsid w:val="008825A0"/>
    <w:rsid w:val="008B3D8D"/>
    <w:rsid w:val="0091518D"/>
    <w:rsid w:val="00967CC0"/>
    <w:rsid w:val="009A36BD"/>
    <w:rsid w:val="00A67AFF"/>
    <w:rsid w:val="00A82C78"/>
    <w:rsid w:val="00AC1559"/>
    <w:rsid w:val="00AF18B9"/>
    <w:rsid w:val="00B35C8E"/>
    <w:rsid w:val="00B5438D"/>
    <w:rsid w:val="00B671B6"/>
    <w:rsid w:val="00BB3519"/>
    <w:rsid w:val="00C24C3E"/>
    <w:rsid w:val="00C26CFF"/>
    <w:rsid w:val="00C46AA4"/>
    <w:rsid w:val="00C725BE"/>
    <w:rsid w:val="00CA4ECE"/>
    <w:rsid w:val="00D31633"/>
    <w:rsid w:val="00DB61FF"/>
    <w:rsid w:val="00E21F44"/>
    <w:rsid w:val="00E6738A"/>
    <w:rsid w:val="00E752FA"/>
    <w:rsid w:val="00EE5CB2"/>
    <w:rsid w:val="00F61557"/>
    <w:rsid w:val="00F83256"/>
    <w:rsid w:val="00F93240"/>
    <w:rsid w:val="00FC4011"/>
    <w:rsid w:val="00FE1D69"/>
    <w:rsid w:val="06E11454"/>
    <w:rsid w:val="0F7B79B8"/>
    <w:rsid w:val="0FD37F53"/>
    <w:rsid w:val="110927DE"/>
    <w:rsid w:val="116D3239"/>
    <w:rsid w:val="1E7904C2"/>
    <w:rsid w:val="1E956A8C"/>
    <w:rsid w:val="1F8C3244"/>
    <w:rsid w:val="34896763"/>
    <w:rsid w:val="47D406ED"/>
    <w:rsid w:val="4D29109E"/>
    <w:rsid w:val="547F492B"/>
    <w:rsid w:val="5A424BBB"/>
    <w:rsid w:val="5A997478"/>
    <w:rsid w:val="5CBA2A5B"/>
    <w:rsid w:val="6C2C0EBD"/>
    <w:rsid w:val="70896BED"/>
    <w:rsid w:val="75340A06"/>
    <w:rsid w:val="78A81248"/>
    <w:rsid w:val="7BCE3534"/>
    <w:rsid w:val="7F493A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jc w:val="left"/>
    </w:pPr>
    <w:rPr>
      <w:kern w:val="0"/>
      <w:sz w:val="24"/>
    </w:rPr>
  </w:style>
  <w:style w:type="character" w:styleId="7">
    <w:name w:val="FollowedHyperlink"/>
    <w:basedOn w:val="6"/>
    <w:qFormat/>
    <w:uiPriority w:val="99"/>
    <w:rPr>
      <w:rFonts w:cs="Times New Roman"/>
      <w:color w:val="333333"/>
      <w:u w:val="none"/>
    </w:rPr>
  </w:style>
  <w:style w:type="character" w:styleId="8">
    <w:name w:val="Emphasis"/>
    <w:basedOn w:val="6"/>
    <w:qFormat/>
    <w:uiPriority w:val="99"/>
    <w:rPr>
      <w:rFonts w:cs="Times New Roman"/>
    </w:rPr>
  </w:style>
  <w:style w:type="character" w:styleId="9">
    <w:name w:val="Hyperlink"/>
    <w:basedOn w:val="6"/>
    <w:qFormat/>
    <w:uiPriority w:val="99"/>
    <w:rPr>
      <w:rFonts w:cs="Times New Roman"/>
      <w:color w:val="333333"/>
      <w:u w:val="none"/>
    </w:rPr>
  </w:style>
  <w:style w:type="character" w:customStyle="1" w:styleId="10">
    <w:name w:val="页脚 Char"/>
    <w:basedOn w:val="6"/>
    <w:link w:val="2"/>
    <w:semiHidden/>
    <w:qFormat/>
    <w:uiPriority w:val="99"/>
    <w:rPr>
      <w:sz w:val="18"/>
      <w:szCs w:val="18"/>
    </w:rPr>
  </w:style>
  <w:style w:type="character" w:customStyle="1" w:styleId="11">
    <w:name w:val="页眉 Char"/>
    <w:basedOn w:val="6"/>
    <w:link w:val="3"/>
    <w:semiHidden/>
    <w:qFormat/>
    <w:uiPriority w:val="99"/>
    <w:rPr>
      <w:sz w:val="18"/>
      <w:szCs w:val="18"/>
    </w:rPr>
  </w:style>
  <w:style w:type="character" w:customStyle="1" w:styleId="12">
    <w:name w:val="blue"/>
    <w:basedOn w:val="6"/>
    <w:qFormat/>
    <w:uiPriority w:val="99"/>
    <w:rPr>
      <w:rFonts w:cs="Times New Roman"/>
      <w:color w:val="0371C6"/>
      <w:sz w:val="21"/>
      <w:szCs w:val="21"/>
    </w:rPr>
  </w:style>
  <w:style w:type="character" w:customStyle="1" w:styleId="13">
    <w:name w:val="gb-jt"/>
    <w:basedOn w:val="6"/>
    <w:uiPriority w:val="99"/>
    <w:rPr>
      <w:rFonts w:cs="Times New Roman"/>
    </w:rPr>
  </w:style>
  <w:style w:type="character" w:customStyle="1" w:styleId="14">
    <w:name w:val="fl"/>
    <w:basedOn w:val="6"/>
    <w:qFormat/>
    <w:uiPriority w:val="99"/>
    <w:rPr>
      <w:rFonts w:cs="Times New Roman"/>
      <w:color w:val="FFFFFF"/>
    </w:rPr>
  </w:style>
  <w:style w:type="character" w:customStyle="1" w:styleId="15">
    <w:name w:val="right"/>
    <w:basedOn w:val="6"/>
    <w:uiPriority w:val="99"/>
    <w:rPr>
      <w:rFonts w:cs="Times New Roman"/>
      <w:color w:val="999999"/>
    </w:rPr>
  </w:style>
  <w:style w:type="character" w:customStyle="1" w:styleId="16">
    <w:name w:val="right1"/>
    <w:basedOn w:val="6"/>
    <w:uiPriority w:val="99"/>
    <w:rPr>
      <w:rFonts w:cs="Times New Roman"/>
      <w:color w:val="999999"/>
    </w:rPr>
  </w:style>
  <w:style w:type="character" w:customStyle="1" w:styleId="17">
    <w:name w:val="green"/>
    <w:basedOn w:val="6"/>
    <w:qFormat/>
    <w:uiPriority w:val="99"/>
    <w:rPr>
      <w:rFonts w:cs="Times New Roman"/>
      <w:color w:val="58B200"/>
      <w:sz w:val="21"/>
      <w:szCs w:val="21"/>
    </w:rPr>
  </w:style>
  <w:style w:type="character" w:customStyle="1" w:styleId="18">
    <w:name w:val="red"/>
    <w:basedOn w:val="6"/>
    <w:uiPriority w:val="99"/>
    <w:rPr>
      <w:rFonts w:cs="Times New Roman"/>
      <w:color w:val="FF0000"/>
      <w:sz w:val="21"/>
      <w:szCs w:val="21"/>
    </w:rPr>
  </w:style>
  <w:style w:type="character" w:customStyle="1" w:styleId="19">
    <w:name w:val="red1"/>
    <w:basedOn w:val="6"/>
    <w:qFormat/>
    <w:uiPriority w:val="99"/>
    <w:rPr>
      <w:rFonts w:cs="Times New Roman"/>
      <w:color w:val="FF0000"/>
      <w:sz w:val="24"/>
      <w:szCs w:val="24"/>
    </w:rPr>
  </w:style>
  <w:style w:type="character" w:customStyle="1" w:styleId="20">
    <w:name w:val="fl2"/>
    <w:basedOn w:val="6"/>
    <w:uiPriority w:val="99"/>
    <w:rPr>
      <w:rFonts w:cs="Times New Roman"/>
      <w:color w:val="FFFFFF"/>
    </w:rPr>
  </w:style>
  <w:style w:type="character" w:customStyle="1" w:styleId="21">
    <w:name w:val="icon_gys"/>
    <w:basedOn w:val="6"/>
    <w:uiPriority w:val="0"/>
    <w:rPr>
      <w:sz w:val="21"/>
      <w:szCs w:val="21"/>
    </w:rPr>
  </w:style>
  <w:style w:type="character" w:customStyle="1" w:styleId="22">
    <w:name w:val="first-child"/>
    <w:basedOn w:val="6"/>
    <w:qFormat/>
    <w:uiPriority w:val="0"/>
    <w:rPr>
      <w:color w:val="1F3149"/>
      <w:sz w:val="24"/>
      <w:szCs w:val="24"/>
    </w:rPr>
  </w:style>
  <w:style w:type="character" w:customStyle="1" w:styleId="23">
    <w:name w:val="first-child1"/>
    <w:basedOn w:val="6"/>
    <w:qFormat/>
    <w:uiPriority w:val="0"/>
    <w:rPr>
      <w:color w:val="1F3149"/>
      <w:sz w:val="24"/>
      <w:szCs w:val="24"/>
    </w:rPr>
  </w:style>
  <w:style w:type="character" w:customStyle="1" w:styleId="24">
    <w:name w:val="xiadan"/>
    <w:basedOn w:val="6"/>
    <w:qFormat/>
    <w:uiPriority w:val="0"/>
    <w:rPr>
      <w:shd w:val="clear" w:color="auto" w:fill="E4393C"/>
    </w:rPr>
  </w:style>
  <w:style w:type="character" w:customStyle="1" w:styleId="25">
    <w:name w:val="fr"/>
    <w:basedOn w:val="6"/>
    <w:qFormat/>
    <w:uiPriority w:val="0"/>
  </w:style>
  <w:style w:type="character" w:customStyle="1" w:styleId="26">
    <w:name w:val="icon_ds"/>
    <w:basedOn w:val="6"/>
    <w:qFormat/>
    <w:uiPriority w:val="0"/>
  </w:style>
  <w:style w:type="character" w:customStyle="1" w:styleId="27">
    <w:name w:val="icon_ds1"/>
    <w:basedOn w:val="6"/>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383</Words>
  <Characters>409</Characters>
  <Lines>3</Lines>
  <Paragraphs>1</Paragraphs>
  <TotalTime>0</TotalTime>
  <ScaleCrop>false</ScaleCrop>
  <LinksUpToDate>false</LinksUpToDate>
  <CharactersWithSpaces>413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2021-01-06T02:36:00Z</dcterms:created>
  <dc:creator>AAA</dc:creator>
  <cp:lastModifiedBy>河南云青实业有限公司:寇创朝</cp:lastModifiedBy>
  <cp:lastPrinted>2021-01-06T05:51:00Z</cp:lastPrinted>
  <dcterms:modified xsi:type="dcterms:W3CDTF">2024-09-14T05:21:58Z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A3C615DA191941CF962C4D5200F0DEA3_13</vt:lpwstr>
  </property>
</Properties>
</file>