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D52C6">
      <w:pPr>
        <w:tabs>
          <w:tab w:val="left" w:pos="993"/>
          <w:tab w:val="left" w:pos="1134"/>
          <w:tab w:val="left" w:pos="1418"/>
          <w:tab w:val="left" w:pos="9450"/>
        </w:tabs>
        <w:spacing w:line="550" w:lineRule="exact"/>
        <w:jc w:val="center"/>
        <w:outlineLvl w:val="0"/>
        <w:rPr>
          <w:rFonts w:ascii="宋体" w:hAnsi="宋体" w:eastAsia="宋体" w:cs="宋体"/>
          <w:sz w:val="36"/>
          <w:szCs w:val="36"/>
          <w:highlight w:val="none"/>
        </w:rPr>
      </w:pPr>
      <w:r>
        <w:rPr>
          <w:rFonts w:hint="eastAsia" w:ascii="宋体" w:hAnsi="宋体" w:eastAsia="宋体" w:cs="宋体"/>
          <w:color w:val="auto"/>
          <w:sz w:val="36"/>
          <w:szCs w:val="36"/>
          <w:highlight w:val="none"/>
          <w:lang w:val="en-US" w:eastAsia="zh-CN"/>
        </w:rPr>
        <w:t>新密市住房和城乡建设管理局2025年06月至</w:t>
      </w:r>
      <w:r>
        <w:rPr>
          <w:rFonts w:ascii="宋体" w:hAnsi="宋体" w:eastAsia="宋体" w:cs="宋体"/>
          <w:sz w:val="36"/>
          <w:szCs w:val="36"/>
          <w:highlight w:val="none"/>
        </w:rPr>
        <w:t>202</w:t>
      </w:r>
      <w:r>
        <w:rPr>
          <w:rFonts w:hint="eastAsia" w:ascii="宋体" w:hAnsi="宋体" w:eastAsia="宋体" w:cs="宋体"/>
          <w:sz w:val="36"/>
          <w:szCs w:val="36"/>
          <w:highlight w:val="none"/>
          <w:lang w:val="en-US" w:eastAsia="zh-CN"/>
        </w:rPr>
        <w:t>5</w:t>
      </w:r>
      <w:r>
        <w:rPr>
          <w:rFonts w:ascii="宋体" w:hAnsi="宋体" w:eastAsia="宋体" w:cs="宋体"/>
          <w:sz w:val="36"/>
          <w:szCs w:val="36"/>
          <w:highlight w:val="none"/>
        </w:rPr>
        <w:t>年</w:t>
      </w:r>
      <w:r>
        <w:rPr>
          <w:rFonts w:hint="eastAsia" w:ascii="宋体" w:hAnsi="宋体" w:eastAsia="宋体" w:cs="宋体"/>
          <w:sz w:val="36"/>
          <w:szCs w:val="36"/>
          <w:highlight w:val="none"/>
          <w:lang w:val="en-US" w:eastAsia="zh-CN"/>
        </w:rPr>
        <w:t>07</w:t>
      </w:r>
      <w:r>
        <w:rPr>
          <w:rFonts w:ascii="宋体" w:hAnsi="宋体" w:eastAsia="宋体" w:cs="宋体"/>
          <w:sz w:val="36"/>
          <w:szCs w:val="36"/>
          <w:highlight w:val="none"/>
        </w:rPr>
        <w:t>月</w:t>
      </w:r>
      <w:r>
        <w:rPr>
          <w:rFonts w:hint="eastAsia" w:ascii="宋体" w:hAnsi="宋体" w:eastAsia="宋体" w:cs="宋体"/>
          <w:sz w:val="36"/>
          <w:szCs w:val="36"/>
          <w:highlight w:val="none"/>
        </w:rPr>
        <w:t>招标计划</w:t>
      </w:r>
    </w:p>
    <w:p w14:paraId="290E9F76">
      <w:pPr>
        <w:tabs>
          <w:tab w:val="left" w:pos="993"/>
          <w:tab w:val="left" w:pos="1134"/>
          <w:tab w:val="left" w:pos="1418"/>
        </w:tabs>
        <w:spacing w:line="200" w:lineRule="exact"/>
        <w:ind w:left="-178" w:leftChars="-85" w:firstLine="640" w:firstLineChars="200"/>
        <w:rPr>
          <w:rFonts w:ascii="仿宋" w:hAnsi="仿宋" w:eastAsia="仿宋" w:cs="仿宋"/>
          <w:sz w:val="32"/>
          <w:szCs w:val="32"/>
          <w:highlight w:val="none"/>
        </w:rPr>
      </w:pPr>
    </w:p>
    <w:p w14:paraId="760160F1">
      <w:pPr>
        <w:tabs>
          <w:tab w:val="left" w:pos="993"/>
          <w:tab w:val="left" w:pos="1134"/>
          <w:tab w:val="left" w:pos="1418"/>
        </w:tabs>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为便于潜在投标人及时了解招标信息，现将新密市住房和城乡建设管理局</w:t>
      </w:r>
      <w:r>
        <w:rPr>
          <w:rFonts w:hint="eastAsia" w:ascii="仿宋" w:hAnsi="仿宋" w:eastAsia="仿宋" w:cs="仿宋"/>
          <w:sz w:val="32"/>
          <w:szCs w:val="32"/>
          <w:highlight w:val="none"/>
          <w:lang w:val="en-US" w:eastAsia="zh-CN"/>
        </w:rPr>
        <w:t>2025年06月至</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07</w:t>
      </w:r>
      <w:r>
        <w:rPr>
          <w:rFonts w:hint="eastAsia" w:ascii="仿宋" w:hAnsi="仿宋" w:eastAsia="仿宋" w:cs="仿宋"/>
          <w:sz w:val="32"/>
          <w:szCs w:val="32"/>
          <w:highlight w:val="none"/>
        </w:rPr>
        <w:t>月的招标计划发布如下：</w:t>
      </w:r>
    </w:p>
    <w:tbl>
      <w:tblPr>
        <w:tblStyle w:val="5"/>
        <w:tblW w:w="13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385"/>
        <w:gridCol w:w="2225"/>
        <w:gridCol w:w="4575"/>
        <w:gridCol w:w="1500"/>
        <w:gridCol w:w="1483"/>
        <w:gridCol w:w="1282"/>
      </w:tblGrid>
      <w:tr w14:paraId="13F6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47" w:type="dxa"/>
            <w:vAlign w:val="center"/>
          </w:tcPr>
          <w:p w14:paraId="3E0DC84C">
            <w:pPr>
              <w:tabs>
                <w:tab w:val="left" w:pos="993"/>
                <w:tab w:val="left" w:pos="1134"/>
                <w:tab w:val="left" w:pos="1418"/>
              </w:tabs>
              <w:spacing w:line="55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385" w:type="dxa"/>
            <w:vAlign w:val="center"/>
          </w:tcPr>
          <w:p w14:paraId="6581B21F">
            <w:pPr>
              <w:tabs>
                <w:tab w:val="left" w:pos="993"/>
                <w:tab w:val="left" w:pos="1134"/>
                <w:tab w:val="left" w:pos="1418"/>
              </w:tabs>
              <w:spacing w:line="55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招标人名称</w:t>
            </w:r>
          </w:p>
        </w:tc>
        <w:tc>
          <w:tcPr>
            <w:tcW w:w="2225" w:type="dxa"/>
            <w:vAlign w:val="center"/>
          </w:tcPr>
          <w:p w14:paraId="0D00C315">
            <w:pPr>
              <w:tabs>
                <w:tab w:val="left" w:pos="993"/>
                <w:tab w:val="left" w:pos="1134"/>
                <w:tab w:val="left" w:pos="1418"/>
              </w:tabs>
              <w:spacing w:line="55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招标项目名称</w:t>
            </w:r>
          </w:p>
        </w:tc>
        <w:tc>
          <w:tcPr>
            <w:tcW w:w="4575" w:type="dxa"/>
            <w:vAlign w:val="center"/>
          </w:tcPr>
          <w:p w14:paraId="6EC1DF29">
            <w:pPr>
              <w:tabs>
                <w:tab w:val="left" w:pos="993"/>
                <w:tab w:val="left" w:pos="1134"/>
                <w:tab w:val="left" w:pos="1418"/>
              </w:tabs>
              <w:spacing w:line="55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招标内容</w:t>
            </w:r>
          </w:p>
        </w:tc>
        <w:tc>
          <w:tcPr>
            <w:tcW w:w="1500" w:type="dxa"/>
            <w:vAlign w:val="center"/>
          </w:tcPr>
          <w:p w14:paraId="3CF5A171">
            <w:pPr>
              <w:tabs>
                <w:tab w:val="left" w:pos="993"/>
                <w:tab w:val="left" w:pos="1134"/>
                <w:tab w:val="left" w:pos="1418"/>
              </w:tabs>
              <w:spacing w:line="44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投资总额</w:t>
            </w:r>
          </w:p>
          <w:p w14:paraId="4CE8E592">
            <w:pPr>
              <w:tabs>
                <w:tab w:val="left" w:pos="993"/>
                <w:tab w:val="left" w:pos="1134"/>
                <w:tab w:val="left" w:pos="1418"/>
              </w:tabs>
              <w:spacing w:line="44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（万元）</w:t>
            </w:r>
          </w:p>
        </w:tc>
        <w:tc>
          <w:tcPr>
            <w:tcW w:w="1483" w:type="dxa"/>
            <w:vAlign w:val="center"/>
          </w:tcPr>
          <w:p w14:paraId="7E8C284C">
            <w:pPr>
              <w:tabs>
                <w:tab w:val="left" w:pos="993"/>
                <w:tab w:val="left" w:pos="1134"/>
                <w:tab w:val="left" w:pos="1418"/>
              </w:tabs>
              <w:spacing w:line="55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预计招标时间</w:t>
            </w:r>
          </w:p>
        </w:tc>
        <w:tc>
          <w:tcPr>
            <w:tcW w:w="1282" w:type="dxa"/>
            <w:vAlign w:val="center"/>
          </w:tcPr>
          <w:p w14:paraId="455A5B06">
            <w:pPr>
              <w:tabs>
                <w:tab w:val="left" w:pos="993"/>
                <w:tab w:val="left" w:pos="1134"/>
                <w:tab w:val="left" w:pos="1418"/>
              </w:tabs>
              <w:spacing w:line="55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备注</w:t>
            </w:r>
          </w:p>
        </w:tc>
      </w:tr>
      <w:tr w14:paraId="5153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47" w:type="dxa"/>
            <w:vAlign w:val="center"/>
          </w:tcPr>
          <w:p w14:paraId="4D791CCC">
            <w:pPr>
              <w:tabs>
                <w:tab w:val="left" w:pos="993"/>
                <w:tab w:val="left" w:pos="1134"/>
                <w:tab w:val="left" w:pos="1418"/>
              </w:tabs>
              <w:spacing w:line="550" w:lineRule="exact"/>
              <w:jc w:val="center"/>
              <w:rPr>
                <w:rFonts w:ascii="仿宋" w:hAnsi="仿宋" w:eastAsia="仿宋" w:cs="Times New Roman"/>
                <w:sz w:val="22"/>
                <w:szCs w:val="21"/>
                <w:highlight w:val="none"/>
              </w:rPr>
            </w:pPr>
            <w:r>
              <w:rPr>
                <w:rFonts w:hint="eastAsia" w:ascii="仿宋" w:hAnsi="仿宋" w:eastAsia="仿宋" w:cs="Times New Roman"/>
                <w:sz w:val="22"/>
                <w:szCs w:val="21"/>
                <w:highlight w:val="none"/>
              </w:rPr>
              <w:t>1</w:t>
            </w:r>
          </w:p>
        </w:tc>
        <w:tc>
          <w:tcPr>
            <w:tcW w:w="1385" w:type="dxa"/>
            <w:vAlign w:val="center"/>
          </w:tcPr>
          <w:p w14:paraId="01593EB2">
            <w:pPr>
              <w:tabs>
                <w:tab w:val="left" w:pos="993"/>
                <w:tab w:val="left" w:pos="1134"/>
                <w:tab w:val="left" w:pos="1418"/>
              </w:tabs>
              <w:spacing w:line="550" w:lineRule="exact"/>
              <w:jc w:val="center"/>
              <w:rPr>
                <w:rFonts w:ascii="仿宋" w:hAnsi="仿宋" w:eastAsia="仿宋" w:cs="Times New Roman"/>
                <w:sz w:val="22"/>
                <w:szCs w:val="21"/>
                <w:highlight w:val="none"/>
              </w:rPr>
            </w:pPr>
            <w:r>
              <w:rPr>
                <w:rFonts w:hint="eastAsia" w:ascii="仿宋" w:hAnsi="仿宋" w:eastAsia="仿宋" w:cs="Times New Roman"/>
                <w:sz w:val="22"/>
                <w:szCs w:val="21"/>
                <w:highlight w:val="none"/>
                <w:lang w:val="en-US" w:eastAsia="zh-CN"/>
              </w:rPr>
              <w:t>新密市住房和城乡建设管理局</w:t>
            </w:r>
          </w:p>
        </w:tc>
        <w:tc>
          <w:tcPr>
            <w:tcW w:w="2225" w:type="dxa"/>
            <w:vAlign w:val="center"/>
          </w:tcPr>
          <w:p w14:paraId="47DAAB36">
            <w:pPr>
              <w:spacing w:line="360" w:lineRule="auto"/>
              <w:jc w:val="center"/>
              <w:rPr>
                <w:rFonts w:hint="default" w:ascii="仿宋" w:hAnsi="仿宋" w:eastAsia="仿宋" w:cs="Times New Roman"/>
                <w:szCs w:val="21"/>
                <w:highlight w:val="none"/>
                <w:lang w:val="en-US" w:eastAsia="zh-CN"/>
              </w:rPr>
            </w:pPr>
            <w:r>
              <w:rPr>
                <w:rFonts w:hint="default" w:ascii="仿宋" w:hAnsi="仿宋" w:eastAsia="仿宋" w:cs="Times New Roman"/>
                <w:szCs w:val="21"/>
                <w:highlight w:val="none"/>
                <w:lang w:val="en-US" w:eastAsia="zh-CN"/>
              </w:rPr>
              <w:t>新密市住房和城乡建设管理局新密市先进制造业</w:t>
            </w:r>
            <w:bookmarkStart w:id="0" w:name="_GoBack"/>
            <w:bookmarkEnd w:id="0"/>
            <w:r>
              <w:rPr>
                <w:rFonts w:hint="default" w:ascii="仿宋" w:hAnsi="仿宋" w:eastAsia="仿宋" w:cs="Times New Roman"/>
                <w:szCs w:val="21"/>
                <w:highlight w:val="none"/>
                <w:lang w:val="en-US" w:eastAsia="zh-CN"/>
              </w:rPr>
              <w:t>开发区综合管网建设项目一期工程施工和监理项目</w:t>
            </w:r>
          </w:p>
          <w:p w14:paraId="037038DD">
            <w:pPr>
              <w:tabs>
                <w:tab w:val="left" w:pos="993"/>
                <w:tab w:val="left" w:pos="1134"/>
                <w:tab w:val="left" w:pos="1418"/>
              </w:tabs>
              <w:spacing w:line="550" w:lineRule="exact"/>
              <w:jc w:val="center"/>
              <w:rPr>
                <w:rFonts w:hint="default" w:ascii="仿宋" w:hAnsi="仿宋" w:eastAsia="仿宋" w:cs="Times New Roman"/>
                <w:sz w:val="22"/>
                <w:szCs w:val="21"/>
                <w:highlight w:val="none"/>
                <w:lang w:val="en-US"/>
              </w:rPr>
            </w:pPr>
          </w:p>
        </w:tc>
        <w:tc>
          <w:tcPr>
            <w:tcW w:w="4575" w:type="dxa"/>
            <w:vAlign w:val="center"/>
          </w:tcPr>
          <w:p w14:paraId="4CBD5C39">
            <w:pPr>
              <w:spacing w:line="360" w:lineRule="auto"/>
              <w:ind w:firstLine="420" w:firstLineChars="200"/>
              <w:jc w:val="left"/>
              <w:rPr>
                <w:rFonts w:hint="eastAsia" w:ascii="仿宋" w:hAnsi="仿宋" w:eastAsia="仿宋" w:cs="Times New Roman"/>
                <w:szCs w:val="21"/>
                <w:highlight w:val="none"/>
                <w:lang w:eastAsia="zh-CN"/>
              </w:rPr>
            </w:pPr>
            <w:r>
              <w:rPr>
                <w:rFonts w:hint="eastAsia" w:ascii="仿宋" w:hAnsi="仿宋" w:eastAsia="仿宋" w:cs="Times New Roman"/>
                <w:color w:val="auto"/>
                <w:szCs w:val="21"/>
                <w:highlight w:val="none"/>
                <w:lang w:eastAsia="zh-CN"/>
              </w:rPr>
              <w:t>该项目建设内容为：</w:t>
            </w:r>
            <w:r>
              <w:rPr>
                <w:rFonts w:hint="eastAsia" w:ascii="仿宋" w:hAnsi="仿宋" w:eastAsia="仿宋" w:cs="Times New Roman"/>
                <w:color w:val="auto"/>
                <w:szCs w:val="21"/>
                <w:highlight w:val="none"/>
                <w:lang w:val="en-US" w:eastAsia="zh-CN"/>
              </w:rPr>
              <w:t>李庄街（人和路-杨庄路）</w:t>
            </w:r>
            <w:r>
              <w:rPr>
                <w:rFonts w:hint="eastAsia" w:ascii="仿宋" w:hAnsi="仿宋" w:eastAsia="仿宋" w:cs="Times New Roman"/>
                <w:color w:val="auto"/>
                <w:szCs w:val="21"/>
                <w:highlight w:val="none"/>
                <w:lang w:eastAsia="zh-CN"/>
              </w:rPr>
              <w:t>人和路(溱洧大街—李庄街)、</w:t>
            </w:r>
            <w:r>
              <w:rPr>
                <w:rFonts w:hint="eastAsia" w:ascii="仿宋" w:hAnsi="仿宋" w:eastAsia="仿宋" w:cs="Times New Roman"/>
                <w:color w:val="auto"/>
                <w:szCs w:val="21"/>
                <w:highlight w:val="none"/>
                <w:lang w:val="en-US" w:eastAsia="zh-CN"/>
              </w:rPr>
              <w:t>兴业路（</w:t>
            </w:r>
            <w:r>
              <w:rPr>
                <w:rFonts w:hint="eastAsia" w:ascii="仿宋" w:hAnsi="仿宋" w:eastAsia="仿宋" w:cs="Times New Roman"/>
                <w:color w:val="auto"/>
                <w:szCs w:val="21"/>
                <w:highlight w:val="none"/>
                <w:lang w:eastAsia="zh-CN"/>
              </w:rPr>
              <w:t>溱洧大街</w:t>
            </w:r>
            <w:r>
              <w:rPr>
                <w:rFonts w:hint="eastAsia" w:ascii="仿宋" w:hAnsi="仿宋" w:eastAsia="仿宋" w:cs="Times New Roman"/>
                <w:color w:val="auto"/>
                <w:szCs w:val="21"/>
                <w:highlight w:val="none"/>
                <w:lang w:val="en-US" w:eastAsia="zh-CN"/>
              </w:rPr>
              <w:t>-</w:t>
            </w:r>
            <w:r>
              <w:rPr>
                <w:rFonts w:hint="eastAsia" w:ascii="仿宋" w:hAnsi="仿宋" w:eastAsia="仿宋" w:cs="Times New Roman"/>
                <w:color w:val="auto"/>
                <w:szCs w:val="21"/>
                <w:highlight w:val="none"/>
                <w:lang w:eastAsia="zh-CN"/>
              </w:rPr>
              <w:t>李庄街</w:t>
            </w:r>
            <w:r>
              <w:rPr>
                <w:rFonts w:hint="eastAsia" w:ascii="仿宋" w:hAnsi="仿宋" w:eastAsia="仿宋" w:cs="Times New Roman"/>
                <w:color w:val="auto"/>
                <w:szCs w:val="21"/>
                <w:highlight w:val="none"/>
                <w:lang w:val="en-US" w:eastAsia="zh-CN"/>
              </w:rPr>
              <w:t>）、杨庄路（</w:t>
            </w:r>
            <w:r>
              <w:rPr>
                <w:rFonts w:hint="eastAsia" w:ascii="仿宋" w:hAnsi="仿宋" w:eastAsia="仿宋" w:cs="Times New Roman"/>
                <w:color w:val="auto"/>
                <w:szCs w:val="21"/>
                <w:highlight w:val="none"/>
                <w:lang w:eastAsia="zh-CN"/>
              </w:rPr>
              <w:t>溱洧大街</w:t>
            </w:r>
            <w:r>
              <w:rPr>
                <w:rFonts w:hint="eastAsia" w:ascii="仿宋" w:hAnsi="仿宋" w:eastAsia="仿宋" w:cs="Times New Roman"/>
                <w:color w:val="auto"/>
                <w:szCs w:val="21"/>
                <w:highlight w:val="none"/>
                <w:lang w:val="en-US" w:eastAsia="zh-CN"/>
              </w:rPr>
              <w:t>-</w:t>
            </w:r>
            <w:r>
              <w:rPr>
                <w:rFonts w:hint="eastAsia" w:ascii="仿宋" w:hAnsi="仿宋" w:eastAsia="仿宋" w:cs="Times New Roman"/>
                <w:szCs w:val="21"/>
                <w:highlight w:val="none"/>
                <w:lang w:eastAsia="zh-CN"/>
              </w:rPr>
              <w:t>李庄街</w:t>
            </w:r>
            <w:r>
              <w:rPr>
                <w:rFonts w:hint="eastAsia" w:ascii="仿宋" w:hAnsi="仿宋" w:eastAsia="仿宋" w:cs="Times New Roman"/>
                <w:szCs w:val="21"/>
                <w:highlight w:val="none"/>
                <w:lang w:val="en-US" w:eastAsia="zh-CN"/>
              </w:rPr>
              <w:t>）等4条道路交通、照明、绿化等工程建设；浙大路</w:t>
            </w:r>
            <w:r>
              <w:rPr>
                <w:rFonts w:hint="eastAsia" w:ascii="仿宋" w:hAnsi="仿宋" w:eastAsia="仿宋" w:cs="Times New Roman"/>
                <w:szCs w:val="21"/>
                <w:highlight w:val="none"/>
                <w:lang w:eastAsia="zh-CN"/>
              </w:rPr>
              <w:t>(溱洧大街—李庄街)、</w:t>
            </w:r>
            <w:r>
              <w:rPr>
                <w:rFonts w:hint="eastAsia" w:ascii="仿宋" w:hAnsi="仿宋" w:eastAsia="仿宋" w:cs="Times New Roman"/>
                <w:szCs w:val="21"/>
                <w:highlight w:val="none"/>
                <w:lang w:val="en-US" w:eastAsia="zh-CN"/>
              </w:rPr>
              <w:t>李庄街（浙大路-轩辕路）、轩辕路（</w:t>
            </w:r>
            <w:r>
              <w:rPr>
                <w:rFonts w:hint="eastAsia" w:ascii="仿宋" w:hAnsi="仿宋" w:eastAsia="仿宋" w:cs="Times New Roman"/>
                <w:szCs w:val="21"/>
                <w:highlight w:val="none"/>
                <w:lang w:eastAsia="zh-CN"/>
              </w:rPr>
              <w:t>溱洧大街—李庄街</w:t>
            </w:r>
            <w:r>
              <w:rPr>
                <w:rFonts w:hint="eastAsia" w:ascii="仿宋" w:hAnsi="仿宋" w:eastAsia="仿宋" w:cs="Times New Roman"/>
                <w:szCs w:val="21"/>
                <w:highlight w:val="none"/>
                <w:lang w:val="en-US" w:eastAsia="zh-CN"/>
              </w:rPr>
              <w:t>）</w:t>
            </w:r>
            <w:r>
              <w:rPr>
                <w:rFonts w:hint="eastAsia" w:ascii="仿宋" w:hAnsi="仿宋" w:eastAsia="仿宋" w:cs="Times New Roman"/>
                <w:szCs w:val="21"/>
                <w:highlight w:val="none"/>
                <w:lang w:eastAsia="zh-CN"/>
              </w:rPr>
              <w:t>等</w:t>
            </w:r>
            <w:r>
              <w:rPr>
                <w:rFonts w:hint="eastAsia" w:ascii="仿宋" w:hAnsi="仿宋" w:eastAsia="仿宋" w:cs="Times New Roman"/>
                <w:szCs w:val="21"/>
                <w:highlight w:val="none"/>
                <w:lang w:val="en-US" w:eastAsia="zh-CN"/>
              </w:rPr>
              <w:t>3</w:t>
            </w:r>
            <w:r>
              <w:rPr>
                <w:rFonts w:hint="eastAsia" w:ascii="仿宋" w:hAnsi="仿宋" w:eastAsia="仿宋" w:cs="Times New Roman"/>
                <w:szCs w:val="21"/>
                <w:highlight w:val="none"/>
                <w:lang w:eastAsia="zh-CN"/>
              </w:rPr>
              <w:t>条路双侧敷设综合管网(包含：电力、有线电视、弱电、通信、燃气、供排水、热力等),包含主干管和支管。</w:t>
            </w:r>
          </w:p>
        </w:tc>
        <w:tc>
          <w:tcPr>
            <w:tcW w:w="1500" w:type="dxa"/>
            <w:vAlign w:val="center"/>
          </w:tcPr>
          <w:p w14:paraId="571FEE6B">
            <w:pPr>
              <w:tabs>
                <w:tab w:val="left" w:pos="993"/>
                <w:tab w:val="left" w:pos="1134"/>
                <w:tab w:val="left" w:pos="1418"/>
              </w:tabs>
              <w:spacing w:line="550" w:lineRule="exact"/>
              <w:jc w:val="center"/>
              <w:rPr>
                <w:rFonts w:hint="default" w:ascii="仿宋" w:hAnsi="仿宋" w:eastAsia="仿宋" w:cs="Times New Roman"/>
                <w:sz w:val="22"/>
                <w:szCs w:val="21"/>
                <w:highlight w:val="none"/>
                <w:lang w:val="en-US" w:eastAsia="zh-CN"/>
              </w:rPr>
            </w:pPr>
            <w:r>
              <w:rPr>
                <w:rFonts w:hint="eastAsia" w:ascii="仿宋" w:hAnsi="仿宋" w:eastAsia="仿宋" w:cs="Times New Roman"/>
                <w:sz w:val="22"/>
                <w:szCs w:val="21"/>
                <w:highlight w:val="none"/>
                <w:lang w:val="en-US" w:eastAsia="zh-CN"/>
              </w:rPr>
              <w:t>4600</w:t>
            </w:r>
          </w:p>
        </w:tc>
        <w:tc>
          <w:tcPr>
            <w:tcW w:w="1483" w:type="dxa"/>
            <w:vAlign w:val="center"/>
          </w:tcPr>
          <w:p w14:paraId="39545568">
            <w:pPr>
              <w:tabs>
                <w:tab w:val="left" w:pos="993"/>
                <w:tab w:val="left" w:pos="1134"/>
                <w:tab w:val="left" w:pos="1418"/>
              </w:tabs>
              <w:spacing w:line="550" w:lineRule="exact"/>
              <w:jc w:val="center"/>
              <w:rPr>
                <w:rFonts w:ascii="仿宋" w:hAnsi="仿宋" w:eastAsia="仿宋" w:cs="Times New Roman"/>
                <w:sz w:val="22"/>
                <w:szCs w:val="21"/>
                <w:highlight w:val="none"/>
              </w:rPr>
            </w:pPr>
            <w:r>
              <w:rPr>
                <w:rFonts w:ascii="仿宋" w:hAnsi="仿宋" w:eastAsia="仿宋" w:cs="Times New Roman"/>
                <w:sz w:val="22"/>
                <w:szCs w:val="21"/>
                <w:highlight w:val="none"/>
              </w:rPr>
              <w:t>202</w:t>
            </w:r>
            <w:r>
              <w:rPr>
                <w:rFonts w:hint="eastAsia" w:ascii="仿宋" w:hAnsi="仿宋" w:eastAsia="仿宋" w:cs="Times New Roman"/>
                <w:sz w:val="22"/>
                <w:szCs w:val="21"/>
                <w:highlight w:val="none"/>
                <w:lang w:val="en-US" w:eastAsia="zh-CN"/>
              </w:rPr>
              <w:t>5</w:t>
            </w:r>
            <w:r>
              <w:rPr>
                <w:rFonts w:ascii="仿宋" w:hAnsi="仿宋" w:eastAsia="仿宋" w:cs="Times New Roman"/>
                <w:sz w:val="22"/>
                <w:szCs w:val="21"/>
                <w:highlight w:val="none"/>
              </w:rPr>
              <w:t>年</w:t>
            </w:r>
            <w:r>
              <w:rPr>
                <w:rFonts w:hint="eastAsia" w:ascii="仿宋" w:hAnsi="仿宋" w:eastAsia="仿宋" w:cs="Times New Roman"/>
                <w:sz w:val="22"/>
                <w:szCs w:val="21"/>
                <w:highlight w:val="none"/>
                <w:lang w:val="en-US" w:eastAsia="zh-CN"/>
              </w:rPr>
              <w:t>07</w:t>
            </w:r>
            <w:r>
              <w:rPr>
                <w:rFonts w:ascii="仿宋" w:hAnsi="仿宋" w:eastAsia="仿宋" w:cs="Times New Roman"/>
                <w:sz w:val="22"/>
                <w:szCs w:val="21"/>
                <w:highlight w:val="none"/>
              </w:rPr>
              <w:t>月</w:t>
            </w:r>
          </w:p>
        </w:tc>
        <w:tc>
          <w:tcPr>
            <w:tcW w:w="1282" w:type="dxa"/>
            <w:vAlign w:val="center"/>
          </w:tcPr>
          <w:p w14:paraId="592A8E9B">
            <w:pPr>
              <w:spacing w:line="360" w:lineRule="auto"/>
              <w:jc w:val="left"/>
              <w:rPr>
                <w:rFonts w:hint="default" w:ascii="仿宋" w:hAnsi="仿宋" w:eastAsia="仿宋" w:cs="仿宋"/>
                <w:sz w:val="32"/>
                <w:szCs w:val="32"/>
                <w:highlight w:val="none"/>
                <w:lang w:val="en-US" w:eastAsia="zh-CN"/>
              </w:rPr>
            </w:pPr>
          </w:p>
        </w:tc>
      </w:tr>
    </w:tbl>
    <w:p w14:paraId="58F2BBB5">
      <w:pPr>
        <w:tabs>
          <w:tab w:val="left" w:pos="993"/>
          <w:tab w:val="left" w:pos="1134"/>
          <w:tab w:val="left" w:pos="1418"/>
        </w:tabs>
        <w:spacing w:line="440" w:lineRule="exact"/>
        <w:ind w:firstLine="562" w:firstLineChars="200"/>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本招标计划发布内容仅作为潜在投标人提前了解招标人初步招标计划的参考，招标项目实际内容以项目招标人最终发布的招标公告和招标文件为准。</w:t>
      </w:r>
    </w:p>
    <w:p w14:paraId="1A69208F">
      <w:pPr>
        <w:tabs>
          <w:tab w:val="left" w:pos="993"/>
          <w:tab w:val="left" w:pos="1134"/>
          <w:tab w:val="left" w:pos="1418"/>
        </w:tabs>
        <w:spacing w:line="550" w:lineRule="exact"/>
        <w:ind w:firstLine="640" w:firstLineChars="200"/>
        <w:jc w:val="right"/>
        <w:rPr>
          <w:rFonts w:ascii="Times New Roman" w:hAnsi="Times New Roman" w:eastAsia="仿宋" w:cs="Times New Roman"/>
          <w:color w:val="auto"/>
          <w:highlight w:val="none"/>
        </w:rPr>
      </w:pPr>
      <w:r>
        <w:rPr>
          <w:rFonts w:hint="eastAsia" w:ascii="仿宋" w:hAnsi="仿宋" w:eastAsia="仿宋" w:cs="仿宋"/>
          <w:sz w:val="32"/>
          <w:szCs w:val="32"/>
          <w:highlight w:val="none"/>
          <w:lang w:val="en-US" w:eastAsia="zh-CN"/>
        </w:rPr>
        <w:t>新密市住房和城乡建设管理局</w:t>
      </w:r>
      <w:r>
        <w:rPr>
          <w:rFonts w:hint="eastAsia" w:ascii="仿宋" w:hAnsi="仿宋" w:eastAsia="仿宋" w:cs="仿宋"/>
          <w:sz w:val="32"/>
          <w:szCs w:val="32"/>
          <w:highlight w:val="none"/>
        </w:rPr>
        <w:t xml:space="preserve">  </w:t>
      </w:r>
      <w:r>
        <w:rPr>
          <w:rFonts w:hint="eastAsia" w:ascii="仿宋" w:hAnsi="仿宋" w:eastAsia="仿宋" w:cs="仿宋"/>
          <w:color w:val="auto"/>
          <w:sz w:val="32"/>
          <w:szCs w:val="32"/>
          <w:highlight w:val="none"/>
        </w:rPr>
        <w:t xml:space="preserve">                                                             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06</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17</w:t>
      </w:r>
      <w:r>
        <w:rPr>
          <w:rFonts w:hint="eastAsia" w:ascii="仿宋" w:hAnsi="仿宋" w:eastAsia="仿宋" w:cs="仿宋"/>
          <w:color w:val="auto"/>
          <w:sz w:val="32"/>
          <w:szCs w:val="32"/>
          <w:highlight w:val="none"/>
        </w:rPr>
        <w:t>日</w:t>
      </w:r>
    </w:p>
    <w:sectPr>
      <w:footerReference r:id="rId3" w:type="even"/>
      <w:pgSz w:w="16838" w:h="11906" w:orient="landscape"/>
      <w:pgMar w:top="1474" w:right="1928" w:bottom="147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04A17">
    <w:pPr>
      <w:pStyle w:val="2"/>
    </w:pPr>
    <w:r>
      <w:rPr>
        <w:rFonts w:hint="eastAsia"/>
        <w:sz w:val="28"/>
      </w:rPr>
      <w:t xml:space="preserve">－ </w:t>
    </w:r>
    <w:r>
      <w:rPr>
        <w:sz w:val="28"/>
      </w:rPr>
      <w:fldChar w:fldCharType="begin"/>
    </w:r>
    <w:r>
      <w:rPr>
        <w:sz w:val="28"/>
      </w:rPr>
      <w:instrText xml:space="preserve"> PAGE   \* MERGEFORMAT </w:instrText>
    </w:r>
    <w:r>
      <w:rPr>
        <w:sz w:val="28"/>
      </w:rPr>
      <w:fldChar w:fldCharType="separate"/>
    </w:r>
    <w:r>
      <w:rPr>
        <w:sz w:val="28"/>
        <w:lang w:val="zh-CN"/>
      </w:rPr>
      <w:t>2</w:t>
    </w:r>
    <w:r>
      <w:rPr>
        <w:sz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YWE2NWM2NjkyMzUxOGRkNDNkNjJlMmYxYjJlZDkifQ=="/>
  </w:docVars>
  <w:rsids>
    <w:rsidRoot w:val="00610103"/>
    <w:rsid w:val="00025D11"/>
    <w:rsid w:val="00050365"/>
    <w:rsid w:val="00050EB6"/>
    <w:rsid w:val="001D671F"/>
    <w:rsid w:val="002909B6"/>
    <w:rsid w:val="00350591"/>
    <w:rsid w:val="00354FFD"/>
    <w:rsid w:val="00355A8A"/>
    <w:rsid w:val="00406F9C"/>
    <w:rsid w:val="00471CAA"/>
    <w:rsid w:val="004C60A3"/>
    <w:rsid w:val="004F0B96"/>
    <w:rsid w:val="004F3D0E"/>
    <w:rsid w:val="00512633"/>
    <w:rsid w:val="005D3D10"/>
    <w:rsid w:val="005F5338"/>
    <w:rsid w:val="00610103"/>
    <w:rsid w:val="00684568"/>
    <w:rsid w:val="00684FB7"/>
    <w:rsid w:val="0070247D"/>
    <w:rsid w:val="00740951"/>
    <w:rsid w:val="007C3B9D"/>
    <w:rsid w:val="0091227C"/>
    <w:rsid w:val="00922BD0"/>
    <w:rsid w:val="009829D2"/>
    <w:rsid w:val="00A10B03"/>
    <w:rsid w:val="00A42900"/>
    <w:rsid w:val="00AF4CF7"/>
    <w:rsid w:val="00B03220"/>
    <w:rsid w:val="00BF1ED5"/>
    <w:rsid w:val="00CF4153"/>
    <w:rsid w:val="00D914F3"/>
    <w:rsid w:val="00DD508A"/>
    <w:rsid w:val="00E02151"/>
    <w:rsid w:val="00E64461"/>
    <w:rsid w:val="00E96E9C"/>
    <w:rsid w:val="00EC0F6B"/>
    <w:rsid w:val="00EC364D"/>
    <w:rsid w:val="00EE20F1"/>
    <w:rsid w:val="00EF7CFE"/>
    <w:rsid w:val="00F57776"/>
    <w:rsid w:val="00F737E7"/>
    <w:rsid w:val="025C670E"/>
    <w:rsid w:val="06B81D95"/>
    <w:rsid w:val="0A4175E3"/>
    <w:rsid w:val="0CBB1D77"/>
    <w:rsid w:val="11381B2A"/>
    <w:rsid w:val="136300DA"/>
    <w:rsid w:val="17B71728"/>
    <w:rsid w:val="18EF3635"/>
    <w:rsid w:val="1B0020DA"/>
    <w:rsid w:val="1B466612"/>
    <w:rsid w:val="1C59328D"/>
    <w:rsid w:val="1F807CAF"/>
    <w:rsid w:val="1F89387B"/>
    <w:rsid w:val="239C717F"/>
    <w:rsid w:val="252142A1"/>
    <w:rsid w:val="269F2EBD"/>
    <w:rsid w:val="27AE5E26"/>
    <w:rsid w:val="27C02E51"/>
    <w:rsid w:val="2A6A1D02"/>
    <w:rsid w:val="2ED9575E"/>
    <w:rsid w:val="35F66AB0"/>
    <w:rsid w:val="3CE00DEC"/>
    <w:rsid w:val="4DED4B5C"/>
    <w:rsid w:val="599F04BD"/>
    <w:rsid w:val="5CFB5EB0"/>
    <w:rsid w:val="60911DB8"/>
    <w:rsid w:val="67B21C03"/>
    <w:rsid w:val="67E265E5"/>
    <w:rsid w:val="6B794F60"/>
    <w:rsid w:val="6C47110C"/>
    <w:rsid w:val="6DF00B18"/>
    <w:rsid w:val="70D25448"/>
    <w:rsid w:val="72865643"/>
    <w:rsid w:val="731A36B7"/>
    <w:rsid w:val="78952EEC"/>
    <w:rsid w:val="7B795574"/>
    <w:rsid w:val="7CF53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脚 字符"/>
    <w:basedOn w:val="6"/>
    <w:link w:val="2"/>
    <w:qFormat/>
    <w:uiPriority w:val="99"/>
    <w:rPr>
      <w:rFonts w:ascii="Times New Roman" w:hAnsi="Times New Roman" w:eastAsia="宋体" w:cs="Times New Roman"/>
      <w:sz w:val="18"/>
      <w:szCs w:val="18"/>
    </w:rPr>
  </w:style>
  <w:style w:type="character" w:customStyle="1" w:styleId="8">
    <w:name w:val="页眉 字符"/>
    <w:basedOn w:val="6"/>
    <w:link w:val="3"/>
    <w:autoRedefine/>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412</Words>
  <Characters>441</Characters>
  <Lines>5</Lines>
  <Paragraphs>1</Paragraphs>
  <TotalTime>34</TotalTime>
  <ScaleCrop>false</ScaleCrop>
  <LinksUpToDate>false</LinksUpToDate>
  <CharactersWithSpaces>504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2023-04-28T03:54:00Z</dcterms:created>
  <dc:creator>河南巨恒工程管理咨询有限公司:李培思</dc:creator>
  <cp:lastModifiedBy>高琪</cp:lastModifiedBy>
  <dcterms:modified xsi:type="dcterms:W3CDTF">2025-06-17T09:26:15Z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CCC0E75F53F34789A1F67AB71FFC3319_13</vt:lpwstr>
  </property>
  <property fmtid="{D5CDD505-2E9C-101B-9397-08002B2CF9AE}" pid="4" name="KSOTemplateDocerSaveRecord">
    <vt:lpwstr>eyJoZGlkIjoiNmE4YWE2NWM2NjkyMzUxOGRkNDNkNjJlMmYxYjJlZDkiLCJ1c2VySWQiOiIzMzc4MzkxMzYifQ==</vt:lpwstr>
  </property>
</Properties>
</file>